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3CD912" w14:textId="77777777" w:rsidR="00623DD0" w:rsidRDefault="00623DD0">
      <w:pPr>
        <w:divId w:val="1076703493"/>
        <w:rPr>
          <w:rFonts w:ascii="Segoe UI" w:eastAsia="Times New Roman" w:hAnsi="Segoe UI" w:cs="Segoe UI"/>
          <w:caps/>
          <w:color w:val="FFFFFF"/>
          <w:spacing w:val="45"/>
          <w:sz w:val="21"/>
          <w:szCs w:val="21"/>
          <w:lang w:val="pt-PT"/>
        </w:rPr>
      </w:pPr>
      <w:r>
        <w:rPr>
          <w:rFonts w:ascii="Segoe UI" w:eastAsia="Times New Roman" w:hAnsi="Segoe UI" w:cs="Segoe UI"/>
          <w:caps/>
          <w:color w:val="FFFFFF"/>
          <w:spacing w:val="45"/>
          <w:sz w:val="21"/>
          <w:szCs w:val="21"/>
          <w:lang w:val="pt-PT"/>
        </w:rPr>
        <w:t>Vertice Services · London</w:t>
      </w:r>
    </w:p>
    <w:p w14:paraId="43604E1F" w14:textId="77777777" w:rsidR="00623DD0" w:rsidRDefault="00623DD0">
      <w:pPr>
        <w:spacing w:before="210" w:after="90"/>
        <w:outlineLvl w:val="1"/>
        <w:divId w:val="958224824"/>
        <w:rPr>
          <w:rFonts w:ascii="Segoe UI" w:eastAsia="Times New Roman" w:hAnsi="Segoe UI" w:cs="Segoe UI"/>
          <w:b/>
          <w:bCs/>
          <w:color w:val="FFFFFF"/>
          <w:kern w:val="36"/>
          <w:sz w:val="45"/>
          <w:szCs w:val="45"/>
          <w:lang w:val="pt-PT"/>
        </w:rPr>
      </w:pPr>
      <w:r>
        <w:rPr>
          <w:rFonts w:ascii="Segoe UI" w:eastAsia="Times New Roman" w:hAnsi="Segoe UI" w:cs="Segoe UI"/>
          <w:b/>
          <w:bCs/>
          <w:color w:val="FFFFFF"/>
          <w:kern w:val="36"/>
          <w:sz w:val="45"/>
          <w:szCs w:val="45"/>
          <w:lang w:val="pt-PT"/>
        </w:rPr>
        <w:t>Softwares por Funcionário e Departamento</w:t>
      </w:r>
      <w:r>
        <w:rPr>
          <w:rFonts w:ascii="Segoe UI" w:eastAsia="Times New Roman" w:hAnsi="Segoe UI" w:cs="Segoe UI"/>
          <w:b/>
          <w:bCs/>
          <w:color w:val="FFFFFF"/>
          <w:kern w:val="36"/>
          <w:sz w:val="45"/>
          <w:szCs w:val="45"/>
          <w:lang w:val="pt-PT"/>
        </w:rPr>
        <w:br/>
        <w:t>Software Usage by Employee &amp; Department</w:t>
      </w:r>
    </w:p>
    <w:p w14:paraId="60A1D925" w14:textId="77777777" w:rsidR="00623DD0" w:rsidRDefault="00623DD0">
      <w:pPr>
        <w:divId w:val="483161751"/>
        <w:rPr>
          <w:rFonts w:ascii="Segoe UI" w:eastAsia="Times New Roman" w:hAnsi="Segoe UI" w:cs="Segoe UI"/>
          <w:color w:val="FFFFFF"/>
          <w:sz w:val="27"/>
          <w:szCs w:val="27"/>
          <w:lang w:val="pt-PT"/>
        </w:rPr>
      </w:pPr>
      <w:r>
        <w:rPr>
          <w:rFonts w:ascii="Segoe UI" w:eastAsia="Times New Roman" w:hAnsi="Segoe UI" w:cs="Segoe UI"/>
          <w:color w:val="FFFFFF"/>
          <w:sz w:val="27"/>
          <w:szCs w:val="27"/>
          <w:lang w:val="pt-PT"/>
        </w:rPr>
        <w:t>Manual de Operações — Documento 2 de 5 · Operations Manual — Document 2 of 5</w:t>
      </w:r>
    </w:p>
    <w:p w14:paraId="3C145122" w14:textId="77777777" w:rsidR="00623DD0" w:rsidRDefault="00623DD0">
      <w:pPr>
        <w:divId w:val="521171744"/>
        <w:rPr>
          <w:rFonts w:ascii="Segoe UI" w:eastAsia="Times New Roman" w:hAnsi="Segoe UI" w:cs="Segoe UI"/>
          <w:color w:val="FFFFFF"/>
          <w:sz w:val="20"/>
          <w:szCs w:val="20"/>
          <w:lang w:val="pt-PT"/>
        </w:rPr>
      </w:pPr>
      <w:r>
        <w:rPr>
          <w:rFonts w:ascii="Segoe UI" w:eastAsia="Times New Roman" w:hAnsi="Segoe UI" w:cs="Segoe UI"/>
          <w:color w:val="FFFFFF"/>
          <w:sz w:val="20"/>
          <w:szCs w:val="20"/>
          <w:lang w:val="pt-PT"/>
        </w:rPr>
        <w:t>Lista e diagramas de utilização de sistemas · Systems inventory, matrix &amp; diagrams · Junho/2026</w:t>
      </w:r>
    </w:p>
    <w:p w14:paraId="72796662" w14:textId="77777777" w:rsidR="00623DD0" w:rsidRDefault="00623DD0">
      <w:pPr>
        <w:pStyle w:val="Heading2"/>
        <w:divId w:val="461576747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1. Diagrama do Stack Tecnológico · Technology Stack Diagram</w:t>
      </w:r>
    </w:p>
    <w:p w14:paraId="3659A00F" w14:textId="77777777" w:rsidR="00623DD0" w:rsidRDefault="00623DD0">
      <w:pPr>
        <w:pStyle w:val="NormalWeb"/>
        <w:divId w:val="461576747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Visão geral de todas as ferramentas usadas pela Vertice, agrupadas por categoria funcional. </w:t>
      </w: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Overview of every tool used by Vertice, grouped by functional category.</w:t>
      </w:r>
    </w:p>
    <w:p w14:paraId="275E2D00" w14:textId="77777777" w:rsidR="00623DD0" w:rsidRDefault="00623DD0">
      <w:pPr>
        <w:jc w:val="center"/>
        <w:divId w:val="250361151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noProof/>
          <w:lang w:val="pt-PT"/>
        </w:rPr>
        <w:drawing>
          <wp:inline distT="0" distB="0" distL="0" distR="0" wp14:anchorId="1AF61475" wp14:editId="6D7B8C87">
            <wp:extent cx="12172950" cy="5727700"/>
            <wp:effectExtent l="0" t="0" r="0" b="6350"/>
            <wp:docPr id="1" name="Picture 1" descr="Stack tecnológico Ver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ck tecnológico Vert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0" cy="57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lang w:val="pt-PT"/>
        </w:rPr>
        <w:t>Figura 1 — Stack tecnológico por categoria · Figure 1 — Technology stack by category</w:t>
      </w:r>
      <w:r>
        <w:rPr>
          <w:rFonts w:ascii="Segoe UI" w:eastAsia="Times New Roman" w:hAnsi="Segoe UI" w:cs="Segoe UI"/>
          <w:lang w:val="pt-PT"/>
        </w:rPr>
        <w:t>.</w:t>
      </w:r>
      <w:r>
        <w:rPr>
          <w:rFonts w:ascii="Segoe UI" w:eastAsia="Times New Roman" w:hAnsi="Segoe UI" w:cs="Segoe UI"/>
          <w:lang w:val="pt-PT"/>
        </w:rPr>
        <w:t xml:space="preserve"> </w:t>
      </w:r>
    </w:p>
    <w:p w14:paraId="62F132C3" w14:textId="77777777" w:rsidR="00623DD0" w:rsidRDefault="00623DD0">
      <w:pPr>
        <w:pStyle w:val="Heading2"/>
        <w:divId w:val="461576747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2. Sistemas por Departamento · Systems by Department</w:t>
      </w:r>
    </w:p>
    <w:p w14:paraId="5A3553E8" w14:textId="77777777" w:rsidR="00623DD0" w:rsidRDefault="00623DD0">
      <w:pPr>
        <w:pStyle w:val="NormalWeb"/>
        <w:divId w:val="461576747"/>
        <w:rPr>
          <w:rFonts w:ascii="Segoe UI" w:hAnsi="Segoe UI" w:cs="Segoe UI"/>
          <w:lang w:val="pt-PT"/>
        </w:rPr>
      </w:pPr>
      <w:r>
        <w:rPr>
          <w:rStyle w:val="lang1"/>
          <w:rFonts w:ascii="Segoe UI" w:hAnsi="Segoe UI" w:cs="Segoe UI"/>
          <w:lang w:val="pt-PT"/>
        </w:rPr>
        <w:t>PT</w:t>
      </w:r>
      <w:r>
        <w:rPr>
          <w:rFonts w:ascii="Segoe UI" w:hAnsi="Segoe UI" w:cs="Segoe UI"/>
          <w:lang w:val="pt-PT"/>
        </w:rPr>
        <w:t xml:space="preserve"> Sistemas centrais (usados por todos) e ferramentas especializadas de cada departamento. </w:t>
      </w:r>
      <w:r>
        <w:rPr>
          <w:rStyle w:val="lang1"/>
          <w:rFonts w:ascii="Segoe UI" w:hAnsi="Segoe UI" w:cs="Segoe UI"/>
          <w:lang w:val="pt-PT"/>
        </w:rPr>
        <w:t>EN</w:t>
      </w:r>
      <w:r>
        <w:rPr>
          <w:rFonts w:ascii="Segoe UI" w:hAnsi="Segoe UI" w:cs="Segoe UI"/>
          <w:lang w:val="pt-PT"/>
        </w:rPr>
        <w:t xml:space="preserve"> Core systems (used by everyone) and each department's specialised tools.</w:t>
      </w:r>
    </w:p>
    <w:p w14:paraId="4AE0C8CB" w14:textId="77777777" w:rsidR="00623DD0" w:rsidRDefault="00623DD0">
      <w:pPr>
        <w:jc w:val="center"/>
        <w:divId w:val="1077021326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noProof/>
          <w:lang w:val="pt-PT"/>
        </w:rPr>
        <w:drawing>
          <wp:inline distT="0" distB="0" distL="0" distR="0" wp14:anchorId="37CB0C32" wp14:editId="039FA0AD">
            <wp:extent cx="20415250" cy="18014950"/>
            <wp:effectExtent l="0" t="0" r="6350" b="6350"/>
            <wp:docPr id="2" name="Picture 2" descr="Sistemas por depart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stemas por departamen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0" cy="180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lang w:val="pt-PT"/>
        </w:rPr>
        <w:t>Figura 2 — Sistemas centrais e especializados por departamento · Figure 2 — Core &amp; specialised systems per department</w:t>
      </w:r>
      <w:r>
        <w:rPr>
          <w:rFonts w:ascii="Segoe UI" w:eastAsia="Times New Roman" w:hAnsi="Segoe UI" w:cs="Segoe UI"/>
          <w:lang w:val="pt-PT"/>
        </w:rPr>
        <w:t>.</w:t>
      </w:r>
      <w:r>
        <w:rPr>
          <w:rFonts w:ascii="Segoe UI" w:eastAsia="Times New Roman" w:hAnsi="Segoe UI" w:cs="Segoe UI"/>
          <w:lang w:val="pt-PT"/>
        </w:rPr>
        <w:t xml:space="preserve"> </w:t>
      </w:r>
    </w:p>
    <w:p w14:paraId="2C83E199" w14:textId="77777777" w:rsidR="00623DD0" w:rsidRDefault="00623DD0">
      <w:pPr>
        <w:pStyle w:val="Heading2"/>
        <w:divId w:val="461576747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3. Inventário de Softwares · Software Inventory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1990"/>
        <w:gridCol w:w="3691"/>
        <w:gridCol w:w="2222"/>
      </w:tblGrid>
      <w:tr w:rsidR="00000000" w14:paraId="48033FD7" w14:textId="77777777">
        <w:trPr>
          <w:divId w:val="461576747"/>
        </w:trPr>
        <w:tc>
          <w:tcPr>
            <w:tcW w:w="0" w:type="auto"/>
            <w:tcMar>
              <w:top w:w="120" w:type="dxa"/>
              <w:left w:w="135" w:type="dxa"/>
              <w:bottom w:w="120" w:type="dxa"/>
              <w:right w:w="135" w:type="dxa"/>
            </w:tcMar>
            <w:vAlign w:val="center"/>
            <w:hideMark/>
          </w:tcPr>
          <w:p w14:paraId="5A7279DB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  <w:t>Software</w:t>
            </w:r>
          </w:p>
        </w:tc>
        <w:tc>
          <w:tcPr>
            <w:tcW w:w="0" w:type="auto"/>
            <w:tcMar>
              <w:top w:w="120" w:type="dxa"/>
              <w:left w:w="135" w:type="dxa"/>
              <w:bottom w:w="120" w:type="dxa"/>
              <w:right w:w="135" w:type="dxa"/>
            </w:tcMar>
            <w:vAlign w:val="center"/>
            <w:hideMark/>
          </w:tcPr>
          <w:p w14:paraId="74B9A723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  <w:t>Categoria · Category</w:t>
            </w:r>
          </w:p>
        </w:tc>
        <w:tc>
          <w:tcPr>
            <w:tcW w:w="0" w:type="auto"/>
            <w:tcMar>
              <w:top w:w="120" w:type="dxa"/>
              <w:left w:w="135" w:type="dxa"/>
              <w:bottom w:w="120" w:type="dxa"/>
              <w:right w:w="135" w:type="dxa"/>
            </w:tcMar>
            <w:vAlign w:val="center"/>
            <w:hideMark/>
          </w:tcPr>
          <w:p w14:paraId="114DEF17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  <w:t>Finalidade · Purpose</w:t>
            </w:r>
          </w:p>
        </w:tc>
        <w:tc>
          <w:tcPr>
            <w:tcW w:w="0" w:type="auto"/>
            <w:tcMar>
              <w:top w:w="120" w:type="dxa"/>
              <w:left w:w="135" w:type="dxa"/>
              <w:bottom w:w="120" w:type="dxa"/>
              <w:right w:w="135" w:type="dxa"/>
            </w:tcMar>
            <w:vAlign w:val="center"/>
            <w:hideMark/>
          </w:tcPr>
          <w:p w14:paraId="75DA051E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  <w:t>Principais usuários · Main users</w:t>
            </w:r>
          </w:p>
        </w:tc>
      </w:tr>
      <w:tr w:rsidR="00000000" w14:paraId="317F2D1E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FB50355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AccountancyManager (AM)</w:t>
            </w:r>
            <w:r>
              <w:rPr>
                <w:rFonts w:ascii="Segoe UI" w:eastAsia="Times New Roman" w:hAnsi="Segoe UI" w:cs="Segoe UI"/>
                <w:sz w:val="18"/>
                <w:szCs w:val="18"/>
              </w:rPr>
              <w:br/>
            </w:r>
            <w:r>
              <w:rPr>
                <w:rStyle w:val="legend1"/>
                <w:rFonts w:ascii="Segoe UI" w:eastAsia="Times New Roman" w:hAnsi="Segoe UI" w:cs="Segoe UI"/>
              </w:rPr>
              <w:t>"Bright Manager"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E4DA0C2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Gestão da prática · Practice management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31CF3E4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CRM, cadastro de clientes, tarefas, prazos, faturamento, checagens AML · CRM, client records, tasks, deadlines, billing, AML checks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8C53B42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Todos os deptos · All departments</w:t>
            </w:r>
          </w:p>
        </w:tc>
      </w:tr>
      <w:tr w:rsidR="00000000" w14:paraId="2BEF6403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6F29F14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QuickBooks Online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4CDB188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Escrituração · Bookkeeping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220A491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Razão, conciliação bancária, VAT/MTD, lançamentos · Ledger, bank rec, VAT/MTD, journals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95639AC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Escrituração, Limitada, Autônomo, Financeiro</w:t>
            </w:r>
          </w:p>
        </w:tc>
      </w:tr>
      <w:tr w:rsidR="00000000" w14:paraId="4C4C2082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9DC897B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Xero · FreeAgent · Sage One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C92E49D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Escrituração (alt.) · Bookkeeping (alt.)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A5925F6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Plataformas parceiras certificadas para clientes nesses sistemas · Certified partner platforms for clients on those systems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91240C8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Contadores / Escrituração</w:t>
            </w:r>
          </w:p>
        </w:tc>
      </w:tr>
      <w:tr w:rsidR="00000000" w14:paraId="1EA4E6D3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F87EBC7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Dext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C6CEEE2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Captura de dados · Data capture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A1539C8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Captura de notas/recibos para o QuickBooks · Receipt/invoice capture into QBO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B5673CA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Escrituração (Mirian é focal)</w:t>
            </w:r>
          </w:p>
        </w:tc>
      </w:tr>
      <w:tr w:rsidR="00000000" w14:paraId="0C070B07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737E958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Forbes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6FFB3C0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Produção de contas · Accounts production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A9FC456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Contas estatutárias finais e cálculo de Corporation Tax · Final statutory accounts &amp; CT computation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E3BED2F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Limitada (Talita, Paulo, Mirian, Rodolfo)</w:t>
            </w:r>
          </w:p>
        </w:tc>
      </w:tr>
      <w:tr w:rsidR="00000000" w14:paraId="2C824A01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53ED534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TaxCalc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685CE35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Impostos · Tax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644A86F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Declarações pessoais (SA) e de empresas (CT600) · Personal (SA) &amp; corporation tax returns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2FE9AB7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Autônomo, Limitada</w:t>
            </w:r>
          </w:p>
        </w:tc>
      </w:tr>
      <w:tr w:rsidR="00000000" w14:paraId="11E8D636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D5DD504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Adobe Acrobat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3C1CD53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Documentos · Documents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CEEBEF2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Conversão de extratos PDF → CSV · Convert bank statements PDF→CSV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E2022ED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Admin Limitada, Escrituração</w:t>
            </w:r>
          </w:p>
        </w:tc>
      </w:tr>
      <w:tr w:rsidR="00000000" w14:paraId="0F641466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C6E8F9D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Streem Connect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8884424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Dados bancários · Bank data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EAAE535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Obtenção de extratos bancários do cliente · Retrieve client bank statements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D27EAB6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Admin Limitada (Erica)</w:t>
            </w:r>
          </w:p>
        </w:tc>
      </w:tr>
      <w:tr w:rsidR="00000000" w14:paraId="3F3AE2A1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D6F3D16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HMRC Online / ASA / Gateway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F873906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Portal do governo · Gov gateway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1A398B0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RTI, VAT MTD, Self-Assessment, CT, autorização de agente · RTI, VAT MTD, SA, CT, agent auth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C255500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Contabilidade e Folha · All accounting/payroll</w:t>
            </w:r>
          </w:p>
        </w:tc>
      </w:tr>
      <w:tr w:rsidR="00000000" w14:paraId="45F12831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11502A5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Companies House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E134AB6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Registro público · Gov registry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525E8A2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Incorporação, confirmation statement, arquivamentos · Incorporation, confirmation statements, filings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A5A5164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Limitada, Admin</w:t>
            </w:r>
          </w:p>
        </w:tc>
      </w:tr>
      <w:tr w:rsidR="00000000" w14:paraId="0D76A193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F9FC8DA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Inform Direct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FE91FFF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Secretaria societária · Company secretarial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D7D5A71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Transferência de cotas, registros estatutários · Share transfers, statutory registers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D0394F6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Admin Limitada</w:t>
            </w:r>
          </w:p>
        </w:tc>
      </w:tr>
      <w:tr w:rsidR="00000000" w14:paraId="5CB39889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B212FCA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BrightPay / Payroll Manager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3331260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Folha · Payroll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954DD58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Folha, RTI, CIS, holerites, P11D · Payroll, RTI, CIS, payslips, P11D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7BC451A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Folha de Pagamento (Adriana)</w:t>
            </w:r>
          </w:p>
        </w:tc>
      </w:tr>
      <w:tr w:rsidR="00000000" w14:paraId="5C7B5C16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0EFB268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NEST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69C3C8A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Pensões · Pensions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2CB3E3F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Auto-enrolment de pensão · Auto-enrolment pension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A1FAEA2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Folha de Pagamento</w:t>
            </w:r>
          </w:p>
        </w:tc>
      </w:tr>
      <w:tr w:rsidR="00000000" w14:paraId="49460422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3888CAA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The Pensions Regulator (TPR)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88912FA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Conformidade · Compliance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DA9C3A8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Declaration of Compliance · Declaration of Compliance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4C3DEC4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Folha de Pagamento</w:t>
            </w:r>
          </w:p>
        </w:tc>
      </w:tr>
      <w:tr w:rsidR="00000000" w14:paraId="650CE4E0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E195AA7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GoCardless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DB78B63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Pagamentos · Payments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56B4330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Cobrança por débito direto das taxas · Direct debit collection of fees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EFD4355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Financeiro</w:t>
            </w:r>
          </w:p>
        </w:tc>
      </w:tr>
      <w:tr w:rsidR="00000000" w14:paraId="54D45176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AB54CC7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PayPal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84F3B3E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Pagamentos · Payments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2A0A844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Pagamentos online/cartão · Card/online payments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8642461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Financeiro</w:t>
            </w:r>
          </w:p>
        </w:tc>
      </w:tr>
      <w:tr w:rsidR="00000000" w14:paraId="66D81960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0460CDB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Online Banking · Bank provider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A682A77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Bancos · Banking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931E948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Pagamentos, contas a pagar/receber · Payments, AP/AR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ACF1EAA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Financeiro, Assessoria</w:t>
            </w:r>
          </w:p>
        </w:tc>
      </w:tr>
      <w:tr w:rsidR="00000000" w14:paraId="4115019F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B526BDE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WhatsApp Business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400DE04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Comunicação · Communication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0522C66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 xml:space="preserve">Comunicação com clientes em toda </w:t>
            </w:r>
            <w:r>
              <w:rPr>
                <w:rFonts w:ascii="Segoe UI" w:eastAsia="Times New Roman" w:hAnsi="Segoe UI" w:cs="Segoe UI"/>
                <w:sz w:val="18"/>
                <w:szCs w:val="18"/>
              </w:rPr>
              <w:t>a empresa · Firm-wide client communication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B7E2317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Todos · All</w:t>
            </w:r>
          </w:p>
        </w:tc>
      </w:tr>
      <w:tr w:rsidR="00000000" w14:paraId="79C12541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DEC098D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RingCentral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337496E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Telefonia · Telephony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B08C752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VoIP, roteamento de chamadas, relatórios · VoIP, call routing, reports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AD35DC5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Atendimento, Contadores</w:t>
            </w:r>
          </w:p>
        </w:tc>
      </w:tr>
      <w:tr w:rsidR="00000000" w14:paraId="70363B82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1BF34E4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Zoom · Teams · Whereby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F5CAF20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Vídeo · Video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1B71D1E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Reuniões e consultorias · Meetings &amp; consultations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8E4E51C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Áreas com clientes · Client-facing</w:t>
            </w:r>
          </w:p>
        </w:tc>
      </w:tr>
      <w:tr w:rsidR="00000000" w14:paraId="1C4F54D3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B95F059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Microsoft 365</w:t>
            </w:r>
            <w:r>
              <w:rPr>
                <w:rFonts w:ascii="Segoe UI" w:eastAsia="Times New Roman" w:hAnsi="Segoe UI" w:cs="Segoe UI"/>
                <w:sz w:val="18"/>
                <w:szCs w:val="18"/>
              </w:rPr>
              <w:t xml:space="preserve"> (Outlook, Word, Excel)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2326590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Produtividade · Productivity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26F406C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E-mail, documentos, planilhas · Email, documents, spreadsheets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107337E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Todos · All</w:t>
            </w:r>
          </w:p>
        </w:tc>
      </w:tr>
      <w:tr w:rsidR="00000000" w14:paraId="246F6E9F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A75D348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SharePoint / OneDrive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5374694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Gestão documental · Document mgmt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49B51F1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Armazenamento de documentos dos clientes · Client document storage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5A34A8A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Todos · All</w:t>
            </w:r>
          </w:p>
        </w:tc>
      </w:tr>
      <w:tr w:rsidR="00000000" w14:paraId="335620B9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1F37F1C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FCA RegData / Connect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5603B99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Regulatório · Regulatory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7DB4208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Relatórios de MSB / instituições de pagamento · MSB/payment-institution reporting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1812ADC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Compliance (Paulo)</w:t>
            </w:r>
          </w:p>
        </w:tc>
      </w:tr>
      <w:tr w:rsidR="00000000" w14:paraId="7934AB58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A323B24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HMRC MLR · NCA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4139710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Regulatório · Regulatory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E97297D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Supervisão antilavagem, SARs · AML supervision, SARs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81F70BC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Compliance (Paulo, Erica)</w:t>
            </w:r>
          </w:p>
        </w:tc>
      </w:tr>
      <w:tr w:rsidR="00000000" w14:paraId="33108F0C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49E4102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IPO (Intellectual Property Office)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630D53F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Jurídico · Legal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A71C4E7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Registro de marcas · Trademark registration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99BA4DE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Marketing, Admin</w:t>
            </w:r>
          </w:p>
        </w:tc>
      </w:tr>
      <w:tr w:rsidR="00000000" w14:paraId="2FE95FFB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D4C9441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Social Media · Google Ads · SEO · CMS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DE053BD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Marketing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1F93022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Marca, campanhas, aquisição, conteúdo do site · Brand, campaigns, acquisition, website content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FB86438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Marketing (Guilherme)</w:t>
            </w:r>
          </w:p>
        </w:tc>
      </w:tr>
      <w:tr w:rsidR="00000000" w14:paraId="0F41B334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713FD65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Vagas.com · Amazon · Three · Computer Highway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4ECE408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Apoio / fornecedores · Support / vendors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EF4E6AA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Recrutamento; vouchers/compras; SIMs móveis; suporte de TI &amp; Forbes · Recruitment; vouchers; mobile SIMs; IT &amp; Forbes support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441E6D8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Operações / RH / TI</w:t>
            </w:r>
          </w:p>
        </w:tc>
      </w:tr>
    </w:tbl>
    <w:p w14:paraId="66849759" w14:textId="77777777" w:rsidR="00623DD0" w:rsidRDefault="00623DD0">
      <w:pPr>
        <w:pStyle w:val="Heading2"/>
        <w:divId w:val="461576747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4. Matriz Departamento × Sistema · Department × System Matrix</w:t>
      </w:r>
    </w:p>
    <w:p w14:paraId="07AF19C9" w14:textId="77777777" w:rsidR="00623DD0" w:rsidRDefault="00623DD0">
      <w:pPr>
        <w:pStyle w:val="legend"/>
        <w:spacing w:before="100" w:beforeAutospacing="1" w:after="100" w:afterAutospacing="1"/>
        <w:divId w:val="461576747"/>
        <w:rPr>
          <w:rFonts w:ascii="Segoe UI" w:hAnsi="Segoe UI" w:cs="Segoe UI"/>
          <w:lang w:val="pt-PT"/>
        </w:rPr>
      </w:pPr>
      <w:r>
        <w:rPr>
          <w:rStyle w:val="core1"/>
          <w:rFonts w:ascii="Segoe UI" w:hAnsi="Segoe UI" w:cs="Segoe UI"/>
          <w:lang w:val="pt-PT"/>
        </w:rPr>
        <w:t>●</w:t>
      </w:r>
      <w:r>
        <w:rPr>
          <w:rFonts w:ascii="Segoe UI" w:hAnsi="Segoe UI" w:cs="Segoe UI"/>
          <w:lang w:val="pt-PT"/>
        </w:rPr>
        <w:t xml:space="preserve"> = sistema central/diário · core/daily    </w:t>
      </w:r>
      <w:r>
        <w:rPr>
          <w:rStyle w:val="yes1"/>
          <w:rFonts w:ascii="Segoe UI Symbol" w:hAnsi="Segoe UI Symbol" w:cs="Segoe UI Symbol"/>
          <w:lang w:val="pt-PT"/>
        </w:rPr>
        <w:t>✓</w:t>
      </w:r>
      <w:r>
        <w:rPr>
          <w:rFonts w:ascii="Segoe UI" w:hAnsi="Segoe UI" w:cs="Segoe UI"/>
          <w:lang w:val="pt-PT"/>
        </w:rPr>
        <w:t xml:space="preserve"> = utilizado · used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433"/>
        <w:gridCol w:w="676"/>
        <w:gridCol w:w="683"/>
        <w:gridCol w:w="504"/>
        <w:gridCol w:w="528"/>
        <w:gridCol w:w="1070"/>
        <w:gridCol w:w="654"/>
        <w:gridCol w:w="718"/>
        <w:gridCol w:w="1643"/>
        <w:gridCol w:w="1199"/>
        <w:gridCol w:w="650"/>
        <w:gridCol w:w="725"/>
      </w:tblGrid>
      <w:tr w:rsidR="00000000" w14:paraId="7A9FAC66" w14:textId="77777777">
        <w:trPr>
          <w:divId w:val="461576747"/>
        </w:trPr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37CEF70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t>Departamento · Department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AFA771A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t>AM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05B7EB01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t>Quick</w:t>
            </w: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softHyphen/>
              <w:t>Books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7BBF2E92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t>Forbes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706A937E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t>Tax</w:t>
            </w: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softHyphen/>
              <w:t>Calc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3A93DBD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t>Dext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EB243F7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t>HMRC/ASA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7E63F70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t>Cos House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71C63F5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t>Bright</w:t>
            </w: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softHyphen/>
              <w:t>Pay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73397A8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t>GoCardless/PayPal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014DBFDB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t>M365/Share</w:t>
            </w: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softHyphen/>
              <w:t>Point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1EC5F466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t>What</w:t>
            </w: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softHyphen/>
              <w:t>sApp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B3DBD9B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t>Ring</w:t>
            </w:r>
            <w:r>
              <w:rPr>
                <w:rFonts w:ascii="Segoe UI" w:eastAsia="Times New Roman" w:hAnsi="Segoe UI" w:cs="Segoe UI"/>
                <w:b/>
                <w:bCs/>
                <w:color w:val="FFFFFF"/>
                <w:sz w:val="17"/>
                <w:szCs w:val="17"/>
              </w:rPr>
              <w:softHyphen/>
              <w:t>Central</w:t>
            </w:r>
          </w:p>
        </w:tc>
      </w:tr>
      <w:tr w:rsidR="00000000" w14:paraId="25F57546" w14:textId="77777777">
        <w:trPr>
          <w:divId w:val="461576747"/>
        </w:trPr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AA5B961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sz w:val="17"/>
                <w:szCs w:val="17"/>
              </w:rPr>
              <w:t>Empresa Limitada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2C5AB43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447E7D5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5959C97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7A507E5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12CE17E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1D357A6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3D6299D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A072940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FC67C74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CA13FCF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119E7F5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9E449F0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</w:tr>
      <w:tr w:rsidR="00000000" w14:paraId="0A3ACA5B" w14:textId="77777777">
        <w:trPr>
          <w:divId w:val="461576747"/>
        </w:trPr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4A0D1C0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sz w:val="17"/>
                <w:szCs w:val="17"/>
              </w:rPr>
              <w:t>Autônomo / SE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89B8BFE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2564F90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4371B50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11F70ED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E3C1C06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30BE98C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B0B71C2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117E769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D156902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96A3E9B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BF081B8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4AD5FA4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</w:tr>
      <w:tr w:rsidR="00000000" w14:paraId="0BB6783F" w14:textId="77777777">
        <w:trPr>
          <w:divId w:val="461576747"/>
        </w:trPr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C71CC3E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sz w:val="17"/>
                <w:szCs w:val="17"/>
              </w:rPr>
              <w:t>Escrituração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4B52F6F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5E95EB0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4E2439A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7485798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D55243A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65BC63F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9D13E6C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B547F69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3A8D89A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F8A76B8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DF94489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EC737DB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</w:p>
        </w:tc>
      </w:tr>
      <w:tr w:rsidR="00000000" w14:paraId="33671658" w14:textId="77777777">
        <w:trPr>
          <w:divId w:val="461576747"/>
        </w:trPr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22FB863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sz w:val="17"/>
                <w:szCs w:val="17"/>
              </w:rPr>
              <w:t>Folha &amp; RH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BC1B450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12F2EC3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A21D68A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F3054F6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C381943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F2E0C83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4A2CA04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42CDFC8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891DDD0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EF74C74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03CDA75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9956597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</w:p>
        </w:tc>
      </w:tr>
      <w:tr w:rsidR="00000000" w14:paraId="34034F1F" w14:textId="77777777">
        <w:trPr>
          <w:divId w:val="461576747"/>
        </w:trPr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4D0F095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sz w:val="17"/>
                <w:szCs w:val="17"/>
              </w:rPr>
              <w:t>Financeiro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EAA49F7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5E4474B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18FFBC9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BBB2B4D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6792EA5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1FF4B95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A034C3A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B901049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0CD8860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7F5AC21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6D9655A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D11EECE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</w:p>
        </w:tc>
      </w:tr>
      <w:tr w:rsidR="00000000" w14:paraId="434A6CAC" w14:textId="77777777">
        <w:trPr>
          <w:divId w:val="461576747"/>
        </w:trPr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DFF1C85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sz w:val="17"/>
                <w:szCs w:val="17"/>
              </w:rPr>
              <w:t>Produtos Financeiros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EF6065D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F5EF4EC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8E70B73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2AF3596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6A78A3E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46F42B2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B5E55CB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D0E3041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45DE97C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1D2F28A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4AF96B0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F34AFD6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</w:tr>
      <w:tr w:rsidR="00000000" w14:paraId="6B2851FF" w14:textId="77777777">
        <w:trPr>
          <w:divId w:val="461576747"/>
        </w:trPr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937EAB6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sz w:val="17"/>
                <w:szCs w:val="17"/>
              </w:rPr>
              <w:t>Atendimento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13414FF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6163C0D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E0A8826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5161A4F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BFC0FF4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FFCF9E0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70AF857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AE60615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58443B9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E26DFDA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466B19F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2B8EB50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</w:tr>
      <w:tr w:rsidR="00000000" w14:paraId="36B09E46" w14:textId="77777777">
        <w:trPr>
          <w:divId w:val="461576747"/>
        </w:trPr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4DEA019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sz w:val="17"/>
                <w:szCs w:val="17"/>
              </w:rPr>
              <w:t>Marketing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BB08751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E441D04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61A268D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445D20D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5982CF7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A01DD78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49A00FD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324ACD2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106D5FE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E4C6C15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4DB3061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7DBCF68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</w:p>
        </w:tc>
      </w:tr>
      <w:tr w:rsidR="00000000" w14:paraId="23F92011" w14:textId="77777777">
        <w:trPr>
          <w:divId w:val="461576747"/>
        </w:trPr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0B4C6F0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sz w:val="17"/>
                <w:szCs w:val="17"/>
              </w:rPr>
              <w:t>Compliance / MSB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240A10F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46F74F2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2E6401A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6361DA2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51B90D0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D8F67E9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1922226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E34D0BC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B38C0B2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B454501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B751720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604DF59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</w:p>
        </w:tc>
      </w:tr>
      <w:tr w:rsidR="00000000" w14:paraId="2CDD4777" w14:textId="77777777">
        <w:trPr>
          <w:divId w:val="461576747"/>
        </w:trPr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74FF1A3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sz w:val="17"/>
                <w:szCs w:val="17"/>
              </w:rPr>
              <w:t>Assistente do CEO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0F5BC4D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E45B7C1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3A74287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2AFFF9A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4ED6028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18EB4A1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AB443A8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0943C3A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1D75FC1" w14:textId="77777777" w:rsidR="00623DD0" w:rsidRDefault="00623DD0">
            <w:pPr>
              <w:spacing w:before="240" w:after="2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E812B0F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C5D9DEA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B8860B"/>
                <w:sz w:val="17"/>
                <w:szCs w:val="17"/>
              </w:rPr>
              <w:t>●</w:t>
            </w:r>
          </w:p>
        </w:tc>
        <w:tc>
          <w:tcPr>
            <w:tcW w:w="0" w:type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E7FEE14" w14:textId="77777777" w:rsidR="00623DD0" w:rsidRDefault="00623DD0">
            <w:pPr>
              <w:spacing w:before="240" w:after="240"/>
              <w:jc w:val="center"/>
              <w:rPr>
                <w:rFonts w:ascii="Segoe UI" w:eastAsia="Times New Roman" w:hAnsi="Segoe UI" w:cs="Segoe UI"/>
                <w:b/>
                <w:bCs/>
                <w:color w:val="1D6F7E"/>
                <w:sz w:val="17"/>
                <w:szCs w:val="17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1D6F7E"/>
                <w:sz w:val="17"/>
                <w:szCs w:val="17"/>
              </w:rPr>
              <w:t>✓</w:t>
            </w:r>
          </w:p>
        </w:tc>
      </w:tr>
    </w:tbl>
    <w:p w14:paraId="400B5DAC" w14:textId="77777777" w:rsidR="00623DD0" w:rsidRDefault="00623DD0">
      <w:pPr>
        <w:pStyle w:val="legend"/>
        <w:spacing w:before="100" w:beforeAutospacing="1" w:after="100" w:afterAutospacing="1"/>
        <w:divId w:val="461576747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Compliance/MSB também usa FCA RegData/Connect, HMRC MLR, NCA e IPO. Marketing usa Social Media, Google Ads, SEO e CMS. Produtos Financeiros usa plataformas de crédito/funding, asset finance, invoice discounting e fintech. · Compliance/MSB also uses FCA RegData/Connect, HMRC MLR, NCA and IPO. Marketing uses Social Media, Google Ads, SEO and CMS. Financial Products uses lending/funding platforms, asset finance, invoice discounting and fintech.</w:t>
      </w:r>
    </w:p>
    <w:p w14:paraId="0F15673B" w14:textId="77777777" w:rsidR="00623DD0" w:rsidRDefault="00623DD0">
      <w:pPr>
        <w:pStyle w:val="Heading2"/>
        <w:divId w:val="461576747"/>
        <w:rPr>
          <w:rFonts w:ascii="Segoe UI" w:eastAsia="Times New Roman" w:hAnsi="Segoe UI" w:cs="Segoe UI"/>
          <w:lang w:val="pt-PT"/>
        </w:rPr>
      </w:pPr>
      <w:r>
        <w:rPr>
          <w:rFonts w:ascii="Segoe UI" w:eastAsia="Times New Roman" w:hAnsi="Segoe UI" w:cs="Segoe UI"/>
          <w:lang w:val="pt-PT"/>
        </w:rPr>
        <w:t>5. Softwares por Funcionário · Software by Employee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1914"/>
        <w:gridCol w:w="6721"/>
      </w:tblGrid>
      <w:tr w:rsidR="00000000" w14:paraId="70782220" w14:textId="77777777">
        <w:trPr>
          <w:divId w:val="461576747"/>
        </w:trPr>
        <w:tc>
          <w:tcPr>
            <w:tcW w:w="0" w:type="auto"/>
            <w:tcMar>
              <w:top w:w="120" w:type="dxa"/>
              <w:left w:w="135" w:type="dxa"/>
              <w:bottom w:w="120" w:type="dxa"/>
              <w:right w:w="135" w:type="dxa"/>
            </w:tcMar>
            <w:vAlign w:val="center"/>
            <w:hideMark/>
          </w:tcPr>
          <w:p w14:paraId="4325EA72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  <w:t>Funcionário · Employee</w:t>
            </w:r>
          </w:p>
        </w:tc>
        <w:tc>
          <w:tcPr>
            <w:tcW w:w="0" w:type="auto"/>
            <w:tcMar>
              <w:top w:w="120" w:type="dxa"/>
              <w:left w:w="135" w:type="dxa"/>
              <w:bottom w:w="120" w:type="dxa"/>
              <w:right w:w="135" w:type="dxa"/>
            </w:tcMar>
            <w:vAlign w:val="center"/>
            <w:hideMark/>
          </w:tcPr>
          <w:p w14:paraId="209FF11B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  <w:t>Departamento · Department</w:t>
            </w:r>
          </w:p>
        </w:tc>
        <w:tc>
          <w:tcPr>
            <w:tcW w:w="0" w:type="auto"/>
            <w:tcMar>
              <w:top w:w="120" w:type="dxa"/>
              <w:left w:w="135" w:type="dxa"/>
              <w:bottom w:w="120" w:type="dxa"/>
              <w:right w:w="135" w:type="dxa"/>
            </w:tcMar>
            <w:vAlign w:val="center"/>
            <w:hideMark/>
          </w:tcPr>
          <w:p w14:paraId="32F15C8B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</w:rPr>
              <w:t>Principais sistemas · Main systems</w:t>
            </w:r>
          </w:p>
        </w:tc>
      </w:tr>
      <w:tr w:rsidR="00000000" w14:paraId="589EBB37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BC21977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Rodolfo Basilio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057BD2C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Diretoria / Limitada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101441B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AccountancyManager, Outlook, Zoom/Teams, WhatsApp, Excel, TaxCalc, HMRC, Calendar</w:t>
            </w:r>
          </w:p>
        </w:tc>
      </w:tr>
      <w:tr w:rsidR="00000000" w14:paraId="7E26BEBB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C810D1D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Talita Mendes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DE0ED19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Operações / Limitada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8F4B093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AccountancyManager, QuickBooks, Forbes, Excel, HMRC, Companies House, SharePoint, Zoom/Teams, Vagas.com, WhatsApp</w:t>
            </w:r>
          </w:p>
        </w:tc>
      </w:tr>
      <w:tr w:rsidR="00000000" w14:paraId="5C0BB236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F700924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Paulo Veronese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81B71A2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Limitada / Compliance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FE33F99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AccountancyManager, Forbes, QuickBooks, Companies House, HMRC, SharePoint, Excel, FCA (RegData/Connect), HMRC MLR, NCA</w:t>
            </w:r>
          </w:p>
        </w:tc>
      </w:tr>
      <w:tr w:rsidR="00000000" w14:paraId="4C43633F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7C0B575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Erica Barros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6FE1C4D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Limitada (Admin)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D9084CD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AccountancyManager, QuickBooks, Companies House, Inform Direct, HMRC, Adobe Acrobat, Streem Connect, SharePoint, RingCentral, IPO</w:t>
            </w:r>
          </w:p>
        </w:tc>
      </w:tr>
      <w:tr w:rsidR="00000000" w14:paraId="62756D52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0433942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Mirian Martinez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DF87CDB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Escrituração (Focal) / VAT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0DABC46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QuickBooks, AccountancyManager, Dext, Forbes, HMRC ASA, SharePoint, Outlook, Excel, WhatsApp, Three, Computer Highway</w:t>
            </w:r>
          </w:p>
        </w:tc>
      </w:tr>
      <w:tr w:rsidR="00000000" w14:paraId="1DE6ECA1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DEFBCDA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Juliana Goncalves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12CE93E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Autônomo (Líder)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2FC8E2C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QuickBooks, TaxCalc, HMRC, Companies House, Outlook, Whereby/Zoom/Teams, OneDrive/SharePoint, RingCentral, WhatsApp, Excel</w:t>
            </w:r>
          </w:p>
        </w:tc>
      </w:tr>
      <w:tr w:rsidR="00000000" w14:paraId="7E26DB5A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F1095C5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Sidnei Pereira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A4E8E60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Autônomo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2B8FF4C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QuickBooks, TaxCalc, HMRC, Companies House, Outlook, Zoom/Teams, OneDrive, WhatsApp/RingCentral</w:t>
            </w:r>
          </w:p>
        </w:tc>
      </w:tr>
      <w:tr w:rsidR="00000000" w14:paraId="6C137046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3B9F63F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Taina Soares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0288DC1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Autônomo (Admin)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ED2E7CD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AccountancyManager, HMRC, TaxCalc, SharePoint, Outlook, Companies House (forms 64-8/SA)</w:t>
            </w:r>
          </w:p>
        </w:tc>
      </w:tr>
      <w:tr w:rsidR="00000000" w14:paraId="7D9291BC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0C71CA0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Marcia Barbiero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1A1EEE2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Assessoria do CEO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C5615E4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Outlook (agenda/e-mail), AccountancyManager, HMRC, SharePoint, WhatsApp, Bank provider (forms), IPO</w:t>
            </w:r>
          </w:p>
        </w:tc>
      </w:tr>
      <w:tr w:rsidR="00000000" w14:paraId="55787405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AEDC531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Ivone Vogel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EB2D839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Financeiro (Resp.)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E1DBA13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QuickBooks, Excel, Online Banking, GoCardless, PayPal, HMRC, BrightPay (journal), Bank platform</w:t>
            </w:r>
          </w:p>
        </w:tc>
      </w:tr>
      <w:tr w:rsidR="00000000" w14:paraId="6EF85A0E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907CD3F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Fernanda Porretti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B598CCF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Financeiro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57B870B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QuickBooks, AccountancyManager, GoCardless, Bank portal, Outlook, WhatsApp, Excel</w:t>
            </w:r>
          </w:p>
        </w:tc>
      </w:tr>
      <w:tr w:rsidR="00000000" w14:paraId="221C7E16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8A3B99B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Carlos Alberto Pereira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C144626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Financeiro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0D40DA6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QuickBooks, AccountancyManager, GoCardless, Bank portal, Outlook, WhatsApp, Excel</w:t>
            </w:r>
          </w:p>
        </w:tc>
      </w:tr>
      <w:tr w:rsidR="00000000" w14:paraId="22BD06C8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A1DD13B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Adriana Dogaru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4F0A9F7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Folha &amp; RH (Resp.)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FB520ED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BrightPay / Payroll Manager, AccountancyManager, HMRC ASA, NEST, The Pensions Regulator, Excel, Outlook, Word, SharePoint, Amazon, WhatsApp</w:t>
            </w:r>
          </w:p>
        </w:tc>
      </w:tr>
      <w:tr w:rsidR="00000000" w14:paraId="4AEE752D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8B9E299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Daniel Nogueira + equipe BR/PT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E36ED69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Escrituração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C3EA937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QuickBooks, AccountancyManager, Dext, HMRC, Outlook, WhatsApp, SharePoint, Excel</w:t>
            </w:r>
          </w:p>
        </w:tc>
      </w:tr>
      <w:tr w:rsidR="00000000" w14:paraId="506AE481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9122327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Gustavo Mofati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7DB66EA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Produtos Financeiros (Resp.)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707C706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AccountancyManager, Excel, Outlook, WhatsApp, HMRC; plataformas de crédito/funding, asset finance, invoice discounting e fintech (a definir) · lending/funding platforms (to be defined)</w:t>
            </w:r>
          </w:p>
        </w:tc>
      </w:tr>
      <w:tr w:rsidR="00000000" w14:paraId="6556E51D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FCD12F7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Marcela Salles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95D48FF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Atendimento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AC6527A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RingCentral, Live Chat (site), WhatsApp, Outlook Calendar, AccountancyManager, e-mail info@</w:t>
            </w:r>
          </w:p>
        </w:tc>
      </w:tr>
      <w:tr w:rsidR="00000000" w14:paraId="57E0867C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1A07EB9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Guilherme Augusto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52A5C59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Marketing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5256D58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Website/CMS, Facebook, Instagram, LinkedIn, X/Twitter, YouTube, Google Ads, SEO, Email Marketing, IPO (marca)</w:t>
            </w:r>
          </w:p>
        </w:tc>
      </w:tr>
      <w:tr w:rsidR="00000000" w14:paraId="201C8137" w14:textId="77777777">
        <w:trPr>
          <w:divId w:val="461576747"/>
        </w:trPr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B9421C1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Weslley Harakawa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CDFD9BB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Tecnologia e IA</w:t>
            </w:r>
          </w:p>
        </w:tc>
        <w:tc>
          <w:tcPr>
            <w:tcW w:w="0" w:type="auto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2B0B500" w14:textId="77777777" w:rsidR="00623DD0" w:rsidRDefault="00623DD0">
            <w:pPr>
              <w:spacing w:before="240" w:after="240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Ferramentas de TI/automação e IA (em definição) · IT/automation &amp; AI tooling (being defined)</w:t>
            </w:r>
          </w:p>
        </w:tc>
      </w:tr>
    </w:tbl>
    <w:p w14:paraId="0095E803" w14:textId="77777777" w:rsidR="00623DD0" w:rsidRDefault="00623DD0">
      <w:pPr>
        <w:divId w:val="1877892364"/>
        <w:rPr>
          <w:rFonts w:ascii="Segoe UI" w:eastAsia="Times New Roman" w:hAnsi="Segoe UI" w:cs="Segoe UI"/>
          <w:lang w:val="pt-PT"/>
        </w:rPr>
      </w:pPr>
      <w:r>
        <w:rPr>
          <w:rStyle w:val="lang1"/>
          <w:rFonts w:ascii="Segoe UI" w:eastAsia="Times New Roman" w:hAnsi="Segoe UI" w:cs="Segoe UI"/>
          <w:lang w:val="pt-PT"/>
        </w:rPr>
        <w:t>PT</w:t>
      </w:r>
      <w:r>
        <w:rPr>
          <w:rFonts w:ascii="Segoe UI" w:eastAsia="Times New Roman" w:hAnsi="Segoe UI" w:cs="Segoe UI"/>
          <w:lang w:val="pt-PT"/>
        </w:rPr>
        <w:t xml:space="preserve"> </w:t>
      </w:r>
      <w:r>
        <w:rPr>
          <w:rFonts w:ascii="Segoe UI" w:eastAsia="Times New Roman" w:hAnsi="Segoe UI" w:cs="Segoe UI"/>
          <w:b/>
          <w:bCs/>
          <w:lang w:val="pt-PT"/>
        </w:rPr>
        <w:t>Conclusão:</w:t>
      </w:r>
      <w:r>
        <w:rPr>
          <w:rFonts w:ascii="Segoe UI" w:eastAsia="Times New Roman" w:hAnsi="Segoe UI" w:cs="Segoe UI"/>
          <w:lang w:val="pt-PT"/>
        </w:rPr>
        <w:t xml:space="preserve"> cinco sistemas formam a espinha dorsal da Vertice — </w:t>
      </w:r>
      <w:r>
        <w:rPr>
          <w:rFonts w:ascii="Segoe UI" w:eastAsia="Times New Roman" w:hAnsi="Segoe UI" w:cs="Segoe UI"/>
          <w:b/>
          <w:bCs/>
          <w:lang w:val="pt-PT"/>
        </w:rPr>
        <w:t>AccountancyManager, QuickBooks Online, Microsoft 365/SharePoint, WhatsApp Business e o HMRC Gateway</w:t>
      </w:r>
      <w:r>
        <w:rPr>
          <w:rFonts w:ascii="Segoe UI" w:eastAsia="Times New Roman" w:hAnsi="Segoe UI" w:cs="Segoe UI"/>
          <w:lang w:val="pt-PT"/>
        </w:rPr>
        <w:t>. A padronização em torno deles é alta; as ferramentas especializadas (Forbes, TaxCalc, BrightPay, Dext, GoCardless, FCA) atendem a fluxos específicos por departamento.</w:t>
      </w:r>
      <w:r>
        <w:rPr>
          <w:rFonts w:ascii="Segoe UI" w:eastAsia="Times New Roman" w:hAnsi="Segoe UI" w:cs="Segoe UI"/>
          <w:lang w:val="pt-PT"/>
        </w:rPr>
        <w:br/>
      </w:r>
      <w:r>
        <w:rPr>
          <w:rStyle w:val="lang1"/>
          <w:rFonts w:ascii="Segoe UI" w:eastAsia="Times New Roman" w:hAnsi="Segoe UI" w:cs="Segoe UI"/>
          <w:lang w:val="pt-PT"/>
        </w:rPr>
        <w:t>EN</w:t>
      </w:r>
      <w:r>
        <w:rPr>
          <w:rFonts w:ascii="Segoe UI" w:eastAsia="Times New Roman" w:hAnsi="Segoe UI" w:cs="Segoe UI"/>
          <w:lang w:val="pt-PT"/>
        </w:rPr>
        <w:t xml:space="preserve"> </w:t>
      </w:r>
      <w:r>
        <w:rPr>
          <w:rFonts w:ascii="Segoe UI" w:eastAsia="Times New Roman" w:hAnsi="Segoe UI" w:cs="Segoe UI"/>
          <w:b/>
          <w:bCs/>
          <w:lang w:val="pt-PT"/>
        </w:rPr>
        <w:t>Conclusion:</w:t>
      </w:r>
      <w:r>
        <w:rPr>
          <w:rFonts w:ascii="Segoe UI" w:eastAsia="Times New Roman" w:hAnsi="Segoe UI" w:cs="Segoe UI"/>
          <w:lang w:val="pt-PT"/>
        </w:rPr>
        <w:t xml:space="preserve"> five systems form Vertice's backbone — </w:t>
      </w:r>
      <w:r>
        <w:rPr>
          <w:rFonts w:ascii="Segoe UI" w:eastAsia="Times New Roman" w:hAnsi="Segoe UI" w:cs="Segoe UI"/>
          <w:b/>
          <w:bCs/>
          <w:lang w:val="pt-PT"/>
        </w:rPr>
        <w:t>AccountancyManager, QuickBooks Online, Microsoft 365/SharePoint, WhatsApp Business and the HMRC Gateway</w:t>
      </w:r>
      <w:r>
        <w:rPr>
          <w:rFonts w:ascii="Segoe UI" w:eastAsia="Times New Roman" w:hAnsi="Segoe UI" w:cs="Segoe UI"/>
          <w:lang w:val="pt-PT"/>
        </w:rPr>
        <w:t>. Standardisation aroun</w:t>
      </w:r>
      <w:r>
        <w:rPr>
          <w:rFonts w:ascii="Segoe UI" w:eastAsia="Times New Roman" w:hAnsi="Segoe UI" w:cs="Segoe UI"/>
          <w:lang w:val="pt-PT"/>
        </w:rPr>
        <w:t xml:space="preserve">d them is high; specialist tools (Forbes, TaxCalc, BrightPay, Dext, GoCardless, FCA) serve department-specific workflows. </w:t>
      </w:r>
    </w:p>
    <w:p w14:paraId="11F26414" w14:textId="77777777" w:rsidR="00623DD0" w:rsidRDefault="00623DD0">
      <w:pPr>
        <w:jc w:val="center"/>
        <w:divId w:val="1224027073"/>
        <w:rPr>
          <w:rFonts w:ascii="Segoe UI" w:eastAsia="Times New Roman" w:hAnsi="Segoe UI" w:cs="Segoe UI"/>
          <w:sz w:val="18"/>
          <w:szCs w:val="18"/>
          <w:lang w:val="pt-PT"/>
        </w:rPr>
      </w:pPr>
      <w:r>
        <w:rPr>
          <w:rFonts w:ascii="Segoe UI" w:eastAsia="Times New Roman" w:hAnsi="Segoe UI" w:cs="Segoe UI"/>
          <w:sz w:val="18"/>
          <w:szCs w:val="18"/>
          <w:lang w:val="pt-PT"/>
        </w:rPr>
        <w:t>Vertice Services Ltd · Manual de Operações / Operations Manual · Documento 2/5 — Softwares / Software Usage</w:t>
      </w:r>
    </w:p>
    <w:sectPr w:rsidR="00623DD0" w:rsidSect="00C81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E0"/>
    <w:rsid w:val="00623DD0"/>
    <w:rsid w:val="00954511"/>
    <w:rsid w:val="00C8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99D50"/>
  <w15:chartTrackingRefBased/>
  <w15:docId w15:val="{A49F44DB-88E8-4DDA-98A0-06A3DF9B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630" w:after="100" w:afterAutospacing="1"/>
      <w:outlineLvl w:val="1"/>
    </w:pPr>
    <w:rPr>
      <w:b/>
      <w:bCs/>
      <w:sz w:val="35"/>
      <w:szCs w:val="35"/>
    </w:rPr>
  </w:style>
  <w:style w:type="paragraph" w:styleId="Heading3">
    <w:name w:val="heading 3"/>
    <w:basedOn w:val="Normal"/>
    <w:link w:val="Heading3Char"/>
    <w:uiPriority w:val="9"/>
    <w:qFormat/>
    <w:pPr>
      <w:spacing w:before="390" w:after="100" w:afterAutospacing="1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wrap">
    <w:name w:val="wrap"/>
    <w:basedOn w:val="Normal"/>
  </w:style>
  <w:style w:type="paragraph" w:customStyle="1" w:styleId="cover">
    <w:name w:val="cover"/>
    <w:basedOn w:val="Normal"/>
    <w:pPr>
      <w:spacing w:before="60" w:after="60"/>
    </w:pPr>
    <w:rPr>
      <w:color w:val="FFFFFF"/>
    </w:rPr>
  </w:style>
  <w:style w:type="paragraph" w:customStyle="1" w:styleId="lang">
    <w:name w:val="lang"/>
    <w:basedOn w:val="Normal"/>
    <w:pPr>
      <w:spacing w:before="60" w:after="60"/>
      <w:ind w:right="120"/>
    </w:pPr>
    <w:rPr>
      <w:b/>
      <w:bCs/>
      <w:color w:val="FFFFFF"/>
      <w:spacing w:val="15"/>
      <w:sz w:val="17"/>
      <w:szCs w:val="17"/>
    </w:rPr>
  </w:style>
  <w:style w:type="paragraph" w:customStyle="1" w:styleId="yes">
    <w:name w:val="yes"/>
    <w:basedOn w:val="Normal"/>
    <w:pPr>
      <w:spacing w:before="60" w:after="60"/>
    </w:pPr>
    <w:rPr>
      <w:b/>
      <w:bCs/>
      <w:color w:val="1D6F7E"/>
    </w:rPr>
  </w:style>
  <w:style w:type="paragraph" w:customStyle="1" w:styleId="core">
    <w:name w:val="core"/>
    <w:basedOn w:val="Normal"/>
    <w:pPr>
      <w:spacing w:before="60" w:after="60"/>
    </w:pPr>
    <w:rPr>
      <w:b/>
      <w:bCs/>
      <w:color w:val="B8860B"/>
    </w:rPr>
  </w:style>
  <w:style w:type="paragraph" w:customStyle="1" w:styleId="fig">
    <w:name w:val="fig"/>
    <w:basedOn w:val="Normal"/>
    <w:pPr>
      <w:spacing w:before="330" w:after="330"/>
      <w:jc w:val="center"/>
    </w:pPr>
  </w:style>
  <w:style w:type="paragraph" w:customStyle="1" w:styleId="card">
    <w:name w:val="card"/>
    <w:basedOn w:val="Normal"/>
    <w:pPr>
      <w:spacing w:before="210" w:after="210"/>
    </w:pPr>
  </w:style>
  <w:style w:type="paragraph" w:customStyle="1" w:styleId="foot">
    <w:name w:val="foot"/>
    <w:basedOn w:val="Normal"/>
    <w:pPr>
      <w:spacing w:before="750" w:after="60"/>
      <w:jc w:val="center"/>
    </w:pPr>
    <w:rPr>
      <w:sz w:val="18"/>
      <w:szCs w:val="18"/>
    </w:rPr>
  </w:style>
  <w:style w:type="paragraph" w:customStyle="1" w:styleId="legend">
    <w:name w:val="legend"/>
    <w:basedOn w:val="Normal"/>
    <w:pPr>
      <w:spacing w:before="60" w:after="60"/>
    </w:pPr>
    <w:rPr>
      <w:sz w:val="18"/>
      <w:szCs w:val="18"/>
    </w:rPr>
  </w:style>
  <w:style w:type="paragraph" w:customStyle="1" w:styleId="brand">
    <w:name w:val="brand"/>
    <w:basedOn w:val="Normal"/>
    <w:pPr>
      <w:spacing w:before="60" w:after="60"/>
    </w:pPr>
  </w:style>
  <w:style w:type="paragraph" w:customStyle="1" w:styleId="sub">
    <w:name w:val="sub"/>
    <w:basedOn w:val="Normal"/>
    <w:pPr>
      <w:spacing w:before="60" w:after="60"/>
    </w:pPr>
  </w:style>
  <w:style w:type="paragraph" w:customStyle="1" w:styleId="meta">
    <w:name w:val="meta"/>
    <w:basedOn w:val="Normal"/>
    <w:pPr>
      <w:spacing w:before="60" w:after="60"/>
    </w:pPr>
  </w:style>
  <w:style w:type="paragraph" w:customStyle="1" w:styleId="brand1">
    <w:name w:val="brand1"/>
    <w:basedOn w:val="Normal"/>
    <w:pPr>
      <w:spacing w:before="100" w:beforeAutospacing="1" w:after="100" w:afterAutospacing="1"/>
    </w:pPr>
    <w:rPr>
      <w:caps/>
      <w:spacing w:val="45"/>
      <w:sz w:val="21"/>
      <w:szCs w:val="21"/>
    </w:rPr>
  </w:style>
  <w:style w:type="paragraph" w:customStyle="1" w:styleId="sub1">
    <w:name w:val="sub1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meta1">
    <w:name w:val="meta1"/>
    <w:basedOn w:val="Normal"/>
    <w:pPr>
      <w:spacing w:before="300" w:after="100" w:afterAutospacing="1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lang1">
    <w:name w:val="lang1"/>
    <w:basedOn w:val="DefaultParagraphFont"/>
    <w:rPr>
      <w:b/>
      <w:bCs/>
      <w:color w:val="FFFFFF"/>
      <w:spacing w:val="15"/>
      <w:sz w:val="17"/>
      <w:szCs w:val="17"/>
    </w:rPr>
  </w:style>
  <w:style w:type="character" w:customStyle="1" w:styleId="legend1">
    <w:name w:val="legend1"/>
    <w:basedOn w:val="DefaultParagraphFont"/>
    <w:rPr>
      <w:sz w:val="18"/>
      <w:szCs w:val="18"/>
    </w:rPr>
  </w:style>
  <w:style w:type="character" w:customStyle="1" w:styleId="core1">
    <w:name w:val="core1"/>
    <w:basedOn w:val="DefaultParagraphFont"/>
    <w:rPr>
      <w:b/>
      <w:bCs/>
      <w:color w:val="B8860B"/>
    </w:rPr>
  </w:style>
  <w:style w:type="character" w:customStyle="1" w:styleId="yes1">
    <w:name w:val="yes1"/>
    <w:basedOn w:val="DefaultParagraphFont"/>
    <w:rPr>
      <w:b/>
      <w:bCs/>
      <w:color w:val="1D6F7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7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151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326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364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07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7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1505</Words>
  <Characters>8132</Characters>
  <Application>Microsoft Office Word</Application>
  <DocSecurity>4</DocSecurity>
  <Lines>67</Lines>
  <Paragraphs>19</Paragraphs>
  <ScaleCrop>false</ScaleCrop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Vertice Services — Softwares por Funcionário e Departamento</dc:title>
  <dc:subject/>
  <dc:creator>Rodolfo Basilio</dc:creator>
  <cp:keywords/>
  <dc:description/>
  <cp:lastModifiedBy>Rodolfo Basilio</cp:lastModifiedBy>
  <cp:revision>2</cp:revision>
  <dcterms:created xsi:type="dcterms:W3CDTF">2026-06-03T20:06:00Z</dcterms:created>
  <dcterms:modified xsi:type="dcterms:W3CDTF">2026-06-03T20:06:00Z</dcterms:modified>
</cp:coreProperties>
</file>